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rFonts w:ascii="Arial" w:hAnsi="Arial" w:eastAsia="Times New Roman" w:cs="Arial"/>
          <w:color w:val="333333"/>
          <w:sz w:val="21"/>
          <w:szCs w:val="21"/>
          <w:lang w:eastAsia="it-IT"/>
        </w:rPr>
      </w:pPr>
      <w:r>
        <w:rPr>
          <w:rFonts w:eastAsia="Times New Roman" w:cs="Arial" w:ascii="Arial" w:hAnsi="Arial"/>
          <w:color w:val="333333"/>
          <w:sz w:val="21"/>
          <w:szCs w:val="21"/>
          <w:lang w:eastAsia="it-IT"/>
        </w:rPr>
      </w:r>
    </w:p>
    <w:p>
      <w:pPr>
        <w:pStyle w:val="Normal"/>
        <w:shd w:val="clear" w:color="auto" w:fill="FFFFFF"/>
        <w:jc w:val="center"/>
        <w:rPr>
          <w:b/>
          <w:b/>
          <w:bCs/>
          <w:sz w:val="24"/>
          <w:szCs w:val="24"/>
        </w:rPr>
      </w:pPr>
      <w:r>
        <w:rPr>
          <w:rFonts w:eastAsia="Times New Roman" w:cs="Arial" w:ascii="Arial" w:hAnsi="Arial"/>
          <w:b/>
          <w:bCs/>
          <w:color w:val="333333"/>
          <w:sz w:val="24"/>
          <w:szCs w:val="24"/>
          <w:lang w:eastAsia="it-IT"/>
        </w:rPr>
        <w:t>31</w:t>
      </w:r>
      <w:r>
        <w:rPr>
          <w:rFonts w:eastAsia="Times New Roman" w:cs="Arial" w:ascii="Arial" w:hAnsi="Arial"/>
          <w:b/>
          <w:bCs/>
          <w:color w:val="333333"/>
          <w:sz w:val="24"/>
          <w:szCs w:val="24"/>
          <w:lang w:eastAsia="it-IT"/>
        </w:rPr>
        <w:t>^</w:t>
      </w:r>
      <w:r>
        <w:rPr>
          <w:rFonts w:eastAsia="Times New Roman" w:cs="Arial" w:ascii="Arial" w:hAnsi="Arial"/>
          <w:b/>
          <w:bCs/>
          <w:color w:val="333333"/>
          <w:sz w:val="24"/>
          <w:szCs w:val="24"/>
          <w:lang w:eastAsia="it-IT"/>
        </w:rPr>
        <w:t xml:space="preserve"> Edizione del Merano WineFestival  </w:t>
      </w:r>
    </w:p>
    <w:p>
      <w:pPr>
        <w:pStyle w:val="Normal"/>
        <w:shd w:val="clear" w:color="auto" w:fill="FFFFFF"/>
        <w:jc w:val="center"/>
        <w:rPr>
          <w:b/>
          <w:b/>
          <w:bCs/>
          <w:sz w:val="24"/>
          <w:szCs w:val="24"/>
        </w:rPr>
      </w:pPr>
      <w:r>
        <w:rPr>
          <w:rFonts w:eastAsia="Times New Roman" w:cs="Arial" w:ascii="Arial" w:hAnsi="Arial"/>
          <w:b/>
          <w:bCs/>
          <w:color w:val="333333"/>
          <w:sz w:val="24"/>
          <w:szCs w:val="24"/>
          <w:lang w:eastAsia="it-IT"/>
        </w:rPr>
        <w:t>4 all’ 8 novembre 2022</w:t>
      </w:r>
    </w:p>
    <w:p>
      <w:pPr>
        <w:pStyle w:val="Normal"/>
        <w:shd w:val="clear" w:color="auto" w:fill="FFFFFF"/>
        <w:jc w:val="center"/>
        <w:rPr>
          <w:rFonts w:ascii="Arial" w:hAnsi="Arial" w:eastAsia="Times New Roman" w:cs="Arial"/>
          <w:color w:val="333333"/>
          <w:sz w:val="21"/>
          <w:szCs w:val="21"/>
          <w:lang w:eastAsia="it-IT"/>
        </w:rPr>
      </w:pPr>
      <w:r>
        <w:rPr/>
      </w:r>
    </w:p>
    <w:p>
      <w:pPr>
        <w:pStyle w:val="Normal"/>
        <w:shd w:val="clear" w:color="auto" w:fill="FFFFFF"/>
        <w:jc w:val="center"/>
        <w:rPr>
          <w:rFonts w:ascii="Arial" w:hAnsi="Arial" w:eastAsia="Times New Roman" w:cs="Arial"/>
          <w:color w:val="333333"/>
          <w:sz w:val="21"/>
          <w:szCs w:val="21"/>
          <w:lang w:eastAsia="it-IT"/>
        </w:rPr>
      </w:pPr>
      <w:r>
        <w:rPr/>
      </w:r>
    </w:p>
    <w:p>
      <w:pPr>
        <w:pStyle w:val="Normal"/>
        <w:jc w:val="both"/>
        <w:rPr/>
      </w:pPr>
      <w:r>
        <w:rPr/>
        <w:tab/>
        <w:t>L</w:t>
      </w:r>
      <w:r>
        <w:rPr/>
        <w:t>a Camera di Commercio del Gran Sasso d’Italia, la Camera di Commercio di Chieti Pescara e la Regione Abruzzo - Dipartimento Agricoltura, parteciperanno alla 31a Edizione del Merano WineFestival, primo evento organizzato in Europa che dal 1992 ha puntato in esclusiva sulla qualità selezionata in un ambiente elegante ed elitario. A celebrare la 31esima edizione, saranno quattro giornate piene di emozioni, contenuti e idee da scoprire: oltre 950 case vitivinicole, tra le migliori in Italia e nel mondo e più di 120 artigiani del gusto, selezionati da The Wine Hunter Award. L’espressione del meglio che il nostro Paese ha da offrire.</w:t>
      </w:r>
    </w:p>
    <w:p>
      <w:pPr>
        <w:pStyle w:val="Normal"/>
        <w:jc w:val="both"/>
        <w:rPr/>
      </w:pPr>
      <w:r>
        <w:rPr/>
        <w:tab/>
        <w:t xml:space="preserve">Il Merano Wine Festival avrà luogo dal </w:t>
      </w:r>
      <w:r>
        <w:rPr>
          <w:b/>
          <w:bCs/>
        </w:rPr>
        <w:t>4 all’ 8 novembre 2022</w:t>
      </w:r>
      <w:r>
        <w:rPr/>
        <w:t xml:space="preserve"> nelle maestose sale del Kurhaus, elegante edificio storico nel cuore della cittadina altoatesina e nella antistante GourmetArena.</w:t>
      </w:r>
    </w:p>
    <w:p>
      <w:pPr>
        <w:pStyle w:val="Normal"/>
        <w:jc w:val="both"/>
        <w:rPr/>
      </w:pPr>
      <w:r>
        <w:rPr/>
        <w:tab/>
        <w:t>All’interno della GourmetArena il sistema camerale abruzzese e l’Assessorato Agricoltura della Regione Abruzzo metteranno a disposizione degli imprenditori della nostra regione un’area espositiva di circa 55 mq composta da 10 tavoli (di dimensioni 2m x 1 cad. corredati con tovaglia, segnatavolo e sedie) dedicata ai prodotti tipici agroalimentari dell’Abruzzo (wine e food), oltre ad uno spazio Istituzionale di promozione del territorio che comprenderà un’area dedicata allo show cooking.</w:t>
      </w:r>
    </w:p>
    <w:p>
      <w:pPr>
        <w:pStyle w:val="Normal"/>
        <w:jc w:val="both"/>
        <w:rPr/>
      </w:pPr>
      <w:r>
        <w:rPr/>
        <w:tab/>
        <w:t xml:space="preserve">Al fine di consentire la massima partecipazione delle aziende abruzzesi e su espressa richiesta del Comitato organizzatore dell’iniziativa, il Merano Wine Festival sarà diviso in due sessioni (4 e 5 novembre; 6 e 7 novembre) e le aziende avranno </w:t>
      </w:r>
      <w:r>
        <w:rPr>
          <w:b/>
          <w:bCs/>
        </w:rPr>
        <w:t>la possibilità di iscriversi solo ad una delle due sessioni,</w:t>
      </w:r>
      <w:r>
        <w:rPr/>
        <w:t xml:space="preserve"> individuata dalla segreteria del Merano WineFestival. Tale modalità consentirà la partecipazione di max 20 aziende del settore agroalimentare (10 del vino e 10 del food).</w:t>
      </w:r>
    </w:p>
    <w:p>
      <w:pPr>
        <w:pStyle w:val="Normal"/>
        <w:jc w:val="both"/>
        <w:rPr/>
      </w:pPr>
      <w:r>
        <w:rPr/>
        <w:tab/>
        <w:t>Per le sole aziende del food, ed in base al numero complessivo di domande pervenute, il Comitato organizzatore del MWF valuterà l’opportunità di partecipazione delle aziende che ne abbiano fatto richiesta ad ambedue le sessioni.</w:t>
      </w:r>
    </w:p>
    <w:p>
      <w:pPr>
        <w:pStyle w:val="Normal"/>
        <w:jc w:val="both"/>
        <w:rPr/>
      </w:pPr>
      <w:r>
        <w:rPr/>
      </w:r>
    </w:p>
    <w:p>
      <w:pPr>
        <w:pStyle w:val="Normal"/>
        <w:jc w:val="both"/>
        <w:rPr/>
      </w:pPr>
      <w:r>
        <w:rPr/>
        <w:tab/>
      </w:r>
      <w:r>
        <w:rPr>
          <w:b w:val="false"/>
          <w:bCs w:val="false"/>
        </w:rPr>
        <w:t>Per ogni sessione, il costo del singolo tavolo di 2m x 1 per le aziende del food è di €. 900,00 oltre iva, mentre per le aziende vitivinicole il costo è di €. 1.500,00 oltre iva. Il contributo d</w:t>
      </w:r>
      <w:r>
        <w:rPr/>
        <w:t>ella Regione Abruzzo e delle Camere di Commercio abruzzesi consentirà la riduzione del 50 % di tali importi, che dunque saranno di</w:t>
      </w:r>
      <w:r>
        <w:rPr>
          <w:b/>
          <w:bCs/>
        </w:rPr>
        <w:t xml:space="preserve"> €. 450,00 + IVA per le aziende del food</w:t>
      </w:r>
      <w:r>
        <w:rPr/>
        <w:t xml:space="preserve"> e di </w:t>
      </w:r>
      <w:r>
        <w:rPr>
          <w:b/>
          <w:bCs/>
        </w:rPr>
        <w:t>€. 750,00 + IVA per le aziende vitivinicole</w:t>
      </w:r>
      <w:r>
        <w:rPr/>
        <w:t>. Il trasporto dei prodotti sarà a carico della ditta espositrice.</w:t>
      </w:r>
    </w:p>
    <w:p>
      <w:pPr>
        <w:pStyle w:val="Normal"/>
        <w:jc w:val="both"/>
        <w:rPr/>
      </w:pPr>
      <w:r>
        <w:rPr/>
        <w:t>La partecipazione al Merano Wine Festival è subordinata all’iscrizione al Portale Wine Hunter, che dovrà avvenire</w:t>
      </w:r>
      <w:r>
        <w:rPr>
          <w:b/>
          <w:bCs/>
          <w:u w:val="single"/>
        </w:rPr>
        <w:t xml:space="preserve"> entro il 31 agosto 2022</w:t>
      </w:r>
      <w:r>
        <w:rPr/>
        <w:t xml:space="preserve"> con le seguenti modalità:</w:t>
      </w:r>
    </w:p>
    <w:p>
      <w:pPr>
        <w:pStyle w:val="Normal"/>
        <w:jc w:val="both"/>
        <w:rPr/>
      </w:pPr>
      <w:r>
        <w:rPr/>
      </w:r>
    </w:p>
    <w:p>
      <w:pPr>
        <w:pStyle w:val="Normal"/>
        <w:jc w:val="both"/>
        <w:rPr/>
      </w:pPr>
      <w:r>
        <w:rPr/>
        <w:t xml:space="preserve">Accedere al portale: </w:t>
      </w:r>
      <w:hyperlink r:id="rId2">
        <w:r>
          <w:rPr>
            <w:rStyle w:val="CollegamentoInternet"/>
          </w:rPr>
          <w:t>https://portale.winehunter.it/login</w:t>
        </w:r>
      </w:hyperlink>
      <w:hyperlink r:id="rId3">
        <w:r>
          <w:rPr/>
          <w:t xml:space="preserve"> </w:t>
        </w:r>
      </w:hyperlink>
    </w:p>
    <w:p>
      <w:pPr>
        <w:pStyle w:val="Normal"/>
        <w:jc w:val="both"/>
        <w:rPr/>
      </w:pPr>
      <w:r>
        <w:rPr/>
        <w:t>1. REGISTRARE i dati tecnici dei prodotti</w:t>
      </w:r>
    </w:p>
    <w:p>
      <w:pPr>
        <w:pStyle w:val="Normal"/>
        <w:jc w:val="both"/>
        <w:rPr/>
      </w:pPr>
      <w:r>
        <w:rPr/>
        <w:t>2. SPEDIRE la campionatura (l’etichetta precompilata è scaricabile tramite l’area</w:t>
      </w:r>
    </w:p>
    <w:p>
      <w:pPr>
        <w:pStyle w:val="Normal"/>
        <w:jc w:val="both"/>
        <w:rPr/>
      </w:pPr>
      <w:r>
        <w:rPr/>
        <w:t>riservata del portale)</w:t>
      </w:r>
    </w:p>
    <w:p>
      <w:pPr>
        <w:pStyle w:val="Normal"/>
        <w:jc w:val="both"/>
        <w:rPr/>
      </w:pPr>
      <w:r>
        <w:rPr/>
        <w:t>3. INVIARE 3 campioni per tipologia di prodotto, con un massimo di 5 referenze</w:t>
      </w:r>
    </w:p>
    <w:p>
      <w:pPr>
        <w:pStyle w:val="Normal"/>
        <w:jc w:val="both"/>
        <w:rPr/>
      </w:pPr>
      <w:r>
        <w:rPr/>
      </w:r>
    </w:p>
    <w:p>
      <w:pPr>
        <w:pStyle w:val="Normal"/>
        <w:jc w:val="both"/>
        <w:rPr/>
      </w:pPr>
      <w:r>
        <w:rPr/>
      </w:r>
    </w:p>
    <w:p>
      <w:pPr>
        <w:pStyle w:val="Normal"/>
        <w:jc w:val="both"/>
        <w:rPr/>
      </w:pPr>
      <w:r>
        <w:rPr/>
        <w:tab/>
        <w:t>Tutte le aziende abruzzesi interessate alla partecipazione al Merano Wine Festival 2022 che non si siano già iscritte e non abbiano inviato campioni hanno la possibilità di iscriversi al portale e</w:t>
      </w:r>
    </w:p>
    <w:p>
      <w:pPr>
        <w:pStyle w:val="Normal"/>
        <w:jc w:val="both"/>
        <w:rPr/>
      </w:pPr>
      <w:r>
        <w:rPr/>
        <w:t xml:space="preserve">di inviare la loro campionatura entro il 31 agosto prossimo. Contestualmente, copia della domanda di partecipazione al Merano Wine Festival 2022 e del Regolamento (documenti in allegato alla presente) dovranno essere inviati alla mail </w:t>
      </w:r>
      <w:hyperlink r:id="rId4">
        <w:r>
          <w:rPr>
            <w:rStyle w:val="CollegamentoInternet"/>
          </w:rPr>
          <w:t>manifestazioni@chpe.camcom.it</w:t>
        </w:r>
      </w:hyperlink>
      <w:hyperlink r:id="rId5">
        <w:r>
          <w:rPr/>
          <w:t xml:space="preserve"> </w:t>
        </w:r>
      </w:hyperlink>
    </w:p>
    <w:p>
      <w:pPr>
        <w:pStyle w:val="Normal"/>
        <w:jc w:val="both"/>
        <w:rPr/>
      </w:pPr>
      <w:r>
        <w:rPr/>
      </w:r>
    </w:p>
    <w:p>
      <w:pPr>
        <w:pStyle w:val="Normal"/>
        <w:jc w:val="both"/>
        <w:rPr/>
      </w:pPr>
      <w:r>
        <w:rPr/>
        <w:tab/>
        <w:t>I campioni verranno valutati dalla Commissione del Merano Wine Festival e, superata tale fase, d’intesa con la Camera di commercio Chieti Pescara e con la Camera di commercio del Gran Sasso d’Italia entro la data del 15 settembre 2022 verranno individuate le aziende ammesse al Merano Wine Festival (10 del vino e 10 del food) sulla base dei seguenti criteri:</w:t>
      </w:r>
    </w:p>
    <w:p>
      <w:pPr>
        <w:pStyle w:val="Normal"/>
        <w:jc w:val="both"/>
        <w:rPr/>
      </w:pPr>
      <w:r>
        <w:rPr/>
        <w:t>- Ordine cronologico di iscrizione e invio campionatura;</w:t>
      </w:r>
    </w:p>
    <w:p>
      <w:pPr>
        <w:pStyle w:val="Normal"/>
        <w:jc w:val="both"/>
        <w:rPr/>
      </w:pPr>
      <w:r>
        <w:rPr/>
        <w:t>- Territorialità (indicativamente 10 aziende del territorio Chieti Pescara e 10 del territorio</w:t>
      </w:r>
    </w:p>
    <w:p>
      <w:pPr>
        <w:pStyle w:val="Normal"/>
        <w:jc w:val="both"/>
        <w:rPr/>
      </w:pPr>
      <w:r>
        <w:rPr/>
        <w:t>L’Aquila Teramo, salvo modifiche per compensazione);</w:t>
      </w:r>
    </w:p>
    <w:p>
      <w:pPr>
        <w:pStyle w:val="Normal"/>
        <w:jc w:val="both"/>
        <w:rPr>
          <w:rFonts w:ascii="Calibri" w:hAnsi="Calibri"/>
          <w:sz w:val="24"/>
          <w:szCs w:val="24"/>
        </w:rPr>
      </w:pPr>
      <w:r>
        <w:rPr>
          <w:rFonts w:ascii="Calibri" w:hAnsi="Calibri"/>
          <w:sz w:val="24"/>
          <w:szCs w:val="24"/>
        </w:rPr>
        <w:t>- Tipologia di prodotto (per il settore food, al fine di garantire la presenza di diverse</w:t>
      </w:r>
    </w:p>
    <w:p>
      <w:pPr>
        <w:pStyle w:val="Normal"/>
        <w:jc w:val="both"/>
        <w:rPr>
          <w:rFonts w:ascii="Calibri" w:hAnsi="Calibri"/>
          <w:sz w:val="24"/>
          <w:szCs w:val="24"/>
        </w:rPr>
      </w:pPr>
      <w:r>
        <w:rPr>
          <w:rFonts w:ascii="Calibri" w:hAnsi="Calibri"/>
          <w:sz w:val="24"/>
          <w:szCs w:val="24"/>
        </w:rPr>
        <w:t>tipicità).</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La quota di partecipazione dovrà essere pagata, a seguito di conferma, direttamente all’Ente </w:t>
      </w:r>
      <w:r>
        <w:rPr>
          <w:rFonts w:eastAsia="Times New Roman" w:cs="Arial" w:ascii="Calibri" w:hAnsi="Calibri"/>
          <w:color w:val="333333"/>
          <w:sz w:val="24"/>
          <w:szCs w:val="24"/>
          <w:lang w:eastAsia="it-IT"/>
        </w:rPr>
        <w:t>organizzatore “Gourmet’s International srl” che provvederà ad emettere relativa fattura.</w:t>
      </w:r>
    </w:p>
    <w:sectPr>
      <w:headerReference w:type="default" r:id="rId6"/>
      <w:type w:val="nextPage"/>
      <w:pgSz w:w="11906" w:h="16838"/>
      <w:pgMar w:left="1134" w:right="1134" w:header="1361"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drawing>
        <wp:anchor behindDoc="1" distT="0" distB="9525" distL="114300" distR="123190" simplePos="0" locked="0" layoutInCell="1" allowOverlap="1" relativeHeight="3">
          <wp:simplePos x="0" y="0"/>
          <wp:positionH relativeFrom="column">
            <wp:posOffset>2261235</wp:posOffset>
          </wp:positionH>
          <wp:positionV relativeFrom="paragraph">
            <wp:posOffset>-92710</wp:posOffset>
          </wp:positionV>
          <wp:extent cx="1457325" cy="542925"/>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457325" cy="542925"/>
                  </a:xfrm>
                  <a:prstGeom prst="rect">
                    <a:avLst/>
                  </a:prstGeom>
                </pic:spPr>
              </pic:pic>
            </a:graphicData>
          </a:graphic>
        </wp:anchor>
      </w:drawing>
      <w:drawing>
        <wp:anchor behindDoc="1" distT="0" distB="0" distL="114300" distR="114300" simplePos="0" locked="0" layoutInCell="1" allowOverlap="1" relativeHeight="5">
          <wp:simplePos x="0" y="0"/>
          <wp:positionH relativeFrom="margin">
            <wp:posOffset>5252085</wp:posOffset>
          </wp:positionH>
          <wp:positionV relativeFrom="paragraph">
            <wp:posOffset>-519430</wp:posOffset>
          </wp:positionV>
          <wp:extent cx="725805" cy="1224915"/>
          <wp:effectExtent l="0" t="0" r="0" b="0"/>
          <wp:wrapSquare wrapText="bothSides"/>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2"/>
                  <a:stretch>
                    <a:fillRect/>
                  </a:stretch>
                </pic:blipFill>
                <pic:spPr bwMode="auto">
                  <a:xfrm>
                    <a:off x="0" y="0"/>
                    <a:ext cx="725805" cy="1224915"/>
                  </a:xfrm>
                  <a:prstGeom prst="rect">
                    <a:avLst/>
                  </a:prstGeom>
                </pic:spPr>
              </pic:pic>
            </a:graphicData>
          </a:graphic>
        </wp:anchor>
      </w:drawing>
      <w:drawing>
        <wp:anchor behindDoc="1" distT="0" distB="0" distL="0" distR="0" simplePos="0" locked="0" layoutInCell="1" allowOverlap="1" relativeHeight="7">
          <wp:simplePos x="0" y="0"/>
          <wp:positionH relativeFrom="page">
            <wp:posOffset>123825</wp:posOffset>
          </wp:positionH>
          <wp:positionV relativeFrom="paragraph">
            <wp:posOffset>-54610</wp:posOffset>
          </wp:positionV>
          <wp:extent cx="2718435" cy="457200"/>
          <wp:effectExtent l="0" t="0" r="0" b="0"/>
          <wp:wrapNone/>
          <wp:docPr id="3"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10;&#10;Descrizione generata automaticamente"/>
                  <pic:cNvPicPr>
                    <a:picLocks noChangeAspect="1" noChangeArrowheads="1"/>
                  </pic:cNvPicPr>
                </pic:nvPicPr>
                <pic:blipFill>
                  <a:blip r:embed="rId3"/>
                  <a:stretch>
                    <a:fillRect/>
                  </a:stretch>
                </pic:blipFill>
                <pic:spPr bwMode="auto">
                  <a:xfrm>
                    <a:off x="0" y="0"/>
                    <a:ext cx="2718435" cy="457200"/>
                  </a:xfrm>
                  <a:prstGeom prst="rect">
                    <a:avLst/>
                  </a:prstGeom>
                </pic:spPr>
              </pic:pic>
            </a:graphicData>
          </a:graphic>
        </wp:anchor>
      </w:drawing>
    </w:r>
    <w:r>
      <w:rPr/>
      <w:t xml:space="preserve"> </w:t>
    </w:r>
    <w:r>
      <w:rPr/>
      <w:t xml:space="preserve">         </w:t>
    </w:r>
  </w:p>
  <w:p>
    <w:pPr>
      <w:pStyle w:val="Intestazione"/>
      <w:rPr/>
    </w:pPr>
    <w:r>
      <w:rPr/>
    </w:r>
  </w:p>
  <w:p>
    <w:pPr>
      <w:pStyle w:val="Intestazione"/>
      <w:rPr/>
    </w:pPr>
    <w:r>
      <w:rPr/>
    </w:r>
  </w:p>
  <w:p>
    <w:pPr>
      <w:pStyle w:val="Intestazion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53f0b"/>
    <w:rPr>
      <w:b/>
      <w:bCs/>
    </w:rPr>
  </w:style>
  <w:style w:type="character" w:styleId="CollegamentoInternet">
    <w:name w:val="Collegamento Internet"/>
    <w:basedOn w:val="DefaultParagraphFont"/>
    <w:uiPriority w:val="99"/>
    <w:unhideWhenUsed/>
    <w:rsid w:val="00053f0b"/>
    <w:rPr>
      <w:color w:val="0000FF"/>
      <w:u w:val="single"/>
    </w:rPr>
  </w:style>
  <w:style w:type="character" w:styleId="IntestazioneCarattere" w:customStyle="1">
    <w:name w:val="Intestazione Carattere"/>
    <w:basedOn w:val="DefaultParagraphFont"/>
    <w:link w:val="Intestazione"/>
    <w:uiPriority w:val="99"/>
    <w:qFormat/>
    <w:rsid w:val="00053f0b"/>
    <w:rPr/>
  </w:style>
  <w:style w:type="character" w:styleId="PidipaginaCarattere" w:customStyle="1">
    <w:name w:val="Piè di pagina Carattere"/>
    <w:basedOn w:val="DefaultParagraphFont"/>
    <w:link w:val="Pidipagina"/>
    <w:uiPriority w:val="99"/>
    <w:qFormat/>
    <w:rsid w:val="00053f0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rFonts w:cs="Times New Roman"/>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Arial" w:hAnsi="Arial" w:cs="Arial"/>
      <w:color w:val="1155CC"/>
      <w:shd w:fill="FFFFFF" w:val="clear"/>
    </w:rPr>
  </w:style>
  <w:style w:type="character" w:styleId="ListLabel32">
    <w:name w:val="ListLabel 32"/>
    <w:qFormat/>
    <w:rPr>
      <w:rFonts w:cs="Symbol"/>
      <w:sz w:val="20"/>
    </w:rPr>
  </w:style>
  <w:style w:type="character" w:styleId="ListLabel33">
    <w:name w:val="ListLabel 33"/>
    <w:qFormat/>
    <w:rPr>
      <w:rFonts w:cs="Courier New"/>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ascii="Arial" w:hAnsi="Arial" w:cs="Arial"/>
      <w:color w:val="1155CC"/>
      <w:u w:val="single"/>
      <w:shd w:fill="FFFFFF"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semiHidden/>
    <w:unhideWhenUsed/>
    <w:qFormat/>
    <w:rsid w:val="00053f0b"/>
    <w:pPr>
      <w:spacing w:beforeAutospacing="1" w:afterAutospacing="1"/>
    </w:pPr>
    <w:rPr>
      <w:rFonts w:ascii="Times New Roman" w:hAnsi="Times New Roman" w:eastAsia="Times New Roman" w:cs="Times New Roman"/>
      <w:lang w:eastAsia="it-IT"/>
    </w:rPr>
  </w:style>
  <w:style w:type="paragraph" w:styleId="Intestazione">
    <w:name w:val="Header"/>
    <w:basedOn w:val="Normal"/>
    <w:link w:val="IntestazioneCarattere"/>
    <w:uiPriority w:val="99"/>
    <w:unhideWhenUsed/>
    <w:rsid w:val="00053f0b"/>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053f0b"/>
    <w:pPr>
      <w:tabs>
        <w:tab w:val="clear" w:pos="708"/>
        <w:tab w:val="center" w:pos="4819" w:leader="none"/>
        <w:tab w:val="right" w:pos="9638" w:leader="none"/>
      </w:tabs>
    </w:pPr>
    <w:rPr/>
  </w:style>
  <w:style w:type="paragraph" w:styleId="ListParagraph">
    <w:name w:val="List Paragraph"/>
    <w:basedOn w:val="Normal"/>
    <w:uiPriority w:val="34"/>
    <w:qFormat/>
    <w:rsid w:val="00d4247b"/>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ale.winehunter.it/login" TargetMode="External"/><Relationship Id="rId3" Type="http://schemas.openxmlformats.org/officeDocument/2006/relationships/hyperlink" Target="" TargetMode="External"/><Relationship Id="rId4" Type="http://schemas.openxmlformats.org/officeDocument/2006/relationships/hyperlink" Target="mailto:manifestazioni@chpe.camcom.it" TargetMode="External"/><Relationship Id="rId5" Type="http://schemas.openxmlformats.org/officeDocument/2006/relationships/hyperlink" Targe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LibreOffice/6.2.1.2$Windows_X86_64 LibreOffice_project/7bcb35dc3024a62dea0caee87020152d1ee96e71</Application>
  <Pages>2</Pages>
  <Words>594</Words>
  <Characters>3392</Characters>
  <CharactersWithSpaces>3979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2022-03-24T10:19:00Z</dcterms:created>
  <dc:creator>marcella lalli</dc:creator>
  <dc:description/>
  <dc:language>it-IT</dc:language>
  <cp:lastModifiedBy/>
  <cp:lastPrinted>2022-03-23T08:45:00Z</cp:lastPrinted>
  <dcterms:modified xsi:type="dcterms:W3CDTF">2022-08-08T11:58:06Z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